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519E9" w14:textId="77777777" w:rsidR="008479A4" w:rsidRDefault="00ED7CAF" w:rsidP="001A1491">
      <w:pPr>
        <w:spacing w:before="120" w:line="240" w:lineRule="auto"/>
        <w:jc w:val="both"/>
        <w:rPr>
          <w:b/>
          <w:sz w:val="24"/>
          <w:szCs w:val="24"/>
        </w:rPr>
      </w:pPr>
      <w:r>
        <w:rPr>
          <w:b/>
          <w:sz w:val="24"/>
          <w:szCs w:val="24"/>
        </w:rPr>
        <w:t>INSTITUTO CAB</w:t>
      </w:r>
    </w:p>
    <w:p w14:paraId="10E790FE" w14:textId="77777777" w:rsidR="008479A4" w:rsidRDefault="00ED7CAF" w:rsidP="001A1491">
      <w:pPr>
        <w:spacing w:before="120" w:line="240" w:lineRule="auto"/>
        <w:jc w:val="both"/>
        <w:rPr>
          <w:b/>
        </w:rPr>
      </w:pPr>
      <w:r>
        <w:rPr>
          <w:b/>
        </w:rPr>
        <w:t>Denominación de la carrera:</w:t>
      </w:r>
      <w:r>
        <w:t> Curso de oficial</w:t>
      </w:r>
      <w:r>
        <w:rPr>
          <w:vertAlign w:val="superscript"/>
        </w:rPr>
        <w:footnoteReference w:id="1"/>
      </w:r>
      <w:r>
        <w:t xml:space="preserve"> de mesa - Nivel 1 (CAB)</w:t>
      </w:r>
    </w:p>
    <w:p w14:paraId="1EB219AC" w14:textId="77777777" w:rsidR="008479A4" w:rsidRDefault="00ED7CAF" w:rsidP="001A1491">
      <w:pPr>
        <w:spacing w:before="120" w:line="240" w:lineRule="auto"/>
        <w:jc w:val="both"/>
      </w:pPr>
      <w:r>
        <w:rPr>
          <w:b/>
        </w:rPr>
        <w:t>Certificado a otorgar:</w:t>
      </w:r>
      <w:r>
        <w:t xml:space="preserve"> Certificado de oficial de mesa - Nivel 1</w:t>
      </w:r>
    </w:p>
    <w:p w14:paraId="318F9435" w14:textId="77777777" w:rsidR="008479A4" w:rsidRDefault="00ED7CAF" w:rsidP="001A1491">
      <w:pPr>
        <w:spacing w:before="120" w:line="240" w:lineRule="auto"/>
        <w:rPr>
          <w:b/>
        </w:rPr>
      </w:pPr>
      <w:r>
        <w:rPr>
          <w:b/>
        </w:rPr>
        <w:t xml:space="preserve">Duración: </w:t>
      </w:r>
      <w:r>
        <w:t xml:space="preserve">2 meses </w:t>
      </w:r>
    </w:p>
    <w:p w14:paraId="6C357BFC" w14:textId="77777777" w:rsidR="008479A4" w:rsidRDefault="00ED7CAF" w:rsidP="001A1491">
      <w:pPr>
        <w:spacing w:before="120" w:line="240" w:lineRule="auto"/>
      </w:pPr>
      <w:r>
        <w:rPr>
          <w:b/>
        </w:rPr>
        <w:t xml:space="preserve">Carga horaria total: </w:t>
      </w:r>
      <w:r>
        <w:t>130 horas.</w:t>
      </w:r>
    </w:p>
    <w:p w14:paraId="65CA0553" w14:textId="77777777" w:rsidR="001A1491" w:rsidRDefault="001A1491" w:rsidP="001A1491">
      <w:pPr>
        <w:spacing w:before="120" w:line="240" w:lineRule="auto"/>
        <w:jc w:val="both"/>
        <w:rPr>
          <w:b/>
          <w:u w:val="single"/>
        </w:rPr>
      </w:pPr>
    </w:p>
    <w:p w14:paraId="5AE25E5E" w14:textId="1D5BCCBC" w:rsidR="008479A4" w:rsidRDefault="00ED7CAF" w:rsidP="001A1491">
      <w:pPr>
        <w:spacing w:before="120" w:line="240" w:lineRule="auto"/>
        <w:jc w:val="both"/>
        <w:rPr>
          <w:b/>
          <w:u w:val="single"/>
        </w:rPr>
      </w:pPr>
      <w:r>
        <w:rPr>
          <w:b/>
          <w:u w:val="single"/>
        </w:rPr>
        <w:t>Destinatarios</w:t>
      </w:r>
    </w:p>
    <w:p w14:paraId="394B24AD" w14:textId="77777777" w:rsidR="008479A4" w:rsidRDefault="00ED7CAF" w:rsidP="001A1491">
      <w:pPr>
        <w:spacing w:before="120" w:line="240" w:lineRule="auto"/>
        <w:ind w:firstLine="708"/>
        <w:jc w:val="both"/>
        <w:rPr>
          <w:color w:val="0D0D0D"/>
          <w:highlight w:val="white"/>
        </w:rPr>
      </w:pPr>
      <w:r>
        <w:rPr>
          <w:color w:val="0D0D0D"/>
          <w:highlight w:val="white"/>
        </w:rPr>
        <w:t xml:space="preserve">El presente curso está dirigido a </w:t>
      </w:r>
      <w:r>
        <w:rPr>
          <w:color w:val="0D0D0D"/>
          <w:highlight w:val="white"/>
        </w:rPr>
        <w:t>todas las personas mayores de 18 años que deseen ser oficiales de mesa CAB, sin necesidad de tener conocimientos previos.</w:t>
      </w:r>
    </w:p>
    <w:p w14:paraId="0318265C" w14:textId="77777777" w:rsidR="001A1491" w:rsidRDefault="001A1491" w:rsidP="001A1491">
      <w:pPr>
        <w:spacing w:before="120" w:line="240" w:lineRule="auto"/>
        <w:jc w:val="both"/>
        <w:rPr>
          <w:b/>
          <w:u w:val="single"/>
        </w:rPr>
      </w:pPr>
    </w:p>
    <w:p w14:paraId="12CAC33D" w14:textId="123B2C1E" w:rsidR="008479A4" w:rsidRDefault="00ED7CAF" w:rsidP="001A1491">
      <w:pPr>
        <w:spacing w:before="120" w:line="240" w:lineRule="auto"/>
        <w:jc w:val="both"/>
        <w:rPr>
          <w:b/>
        </w:rPr>
      </w:pPr>
      <w:r>
        <w:rPr>
          <w:b/>
          <w:u w:val="single"/>
        </w:rPr>
        <w:t>Fundamentación</w:t>
      </w:r>
      <w:r>
        <w:rPr>
          <w:b/>
        </w:rPr>
        <w:t xml:space="preserve"> </w:t>
      </w:r>
    </w:p>
    <w:p w14:paraId="07B0AC18" w14:textId="77777777" w:rsidR="008479A4" w:rsidRDefault="00ED7CAF" w:rsidP="001A1491">
      <w:pPr>
        <w:spacing w:before="120" w:line="240" w:lineRule="auto"/>
        <w:ind w:firstLine="708"/>
        <w:jc w:val="both"/>
      </w:pPr>
      <w:r>
        <w:t>El curso de Oficial de Mesa - Nivel 1 (CAB) ha sido diseñado para satisfacer la creciente demanda de personal capacita</w:t>
      </w:r>
      <w:r>
        <w:t xml:space="preserve">do en la gestión y administración de los encuentros de básquetbol bajo la órbita de la Confederación Argentina de Básquetbol (CAB). La función de los oficiales de mesa es crucial para garantizar la transparencia, el control y la correcta aplicación de las </w:t>
      </w:r>
      <w:r>
        <w:t>reglas del juego, asegurando el desarrollo ordenado y justo de las competencias deportivas. Este curso responde a la necesidad de formar profesionales íntegros, que no solo posean un amplio conocimiento teórico y práctico de las reglas y procedimientos, si</w:t>
      </w:r>
      <w:r>
        <w:t>no que también sean capaces de promover valores éticos y deportivos en su entorno de trabajo.</w:t>
      </w:r>
    </w:p>
    <w:p w14:paraId="1FC6B949" w14:textId="77777777" w:rsidR="008479A4" w:rsidRDefault="00ED7CAF" w:rsidP="001A1491">
      <w:pPr>
        <w:spacing w:before="120" w:line="240" w:lineRule="auto"/>
        <w:ind w:firstLine="708"/>
        <w:jc w:val="both"/>
      </w:pPr>
      <w:r>
        <w:t xml:space="preserve">El curso se estructura en tres campos de formación (básica, disciplinar y práctica situada), lo que permite a los participantes adquirir un conocimiento integral </w:t>
      </w:r>
      <w:r>
        <w:t>y aplicado de su futura labor. La modalidad de educación a distancia facilita la inclusión de estudiantes de diversas geografías, quienes podrán acceder a una formación de calidad sin necesidad de desplazarse. Los contenidos abordan tanto aspectos técnicos</w:t>
      </w:r>
      <w:r>
        <w:t xml:space="preserve"> y reglamentarios como competencias éticas y sociales, promoviendo una visión holística y responsable del rol del oficial de mesa.</w:t>
      </w:r>
    </w:p>
    <w:p w14:paraId="25BEF193" w14:textId="77777777" w:rsidR="008479A4" w:rsidRDefault="00ED7CAF" w:rsidP="001A1491">
      <w:pPr>
        <w:spacing w:before="120" w:line="240" w:lineRule="auto"/>
        <w:ind w:firstLine="708"/>
        <w:jc w:val="both"/>
      </w:pPr>
      <w:r>
        <w:t>La combinación de clases teóricas virtuales y prácticas presenciales asegura que los participantes no solo comprendan los fun</w:t>
      </w:r>
      <w:r>
        <w:t>damentos teóricos, sino que también puedan aplicarlos en situaciones reales de juego, fortaleciendo su capacidad para tomar decisiones precisas y justas en el desarrollo de las competencias. Esta formación integral y práctica garantiza que los egresados es</w:t>
      </w:r>
      <w:r>
        <w:t>tén plenamente preparados para desempeñarse en su rol con la excelencia y el profesionalismo que la CAB requiere.</w:t>
      </w:r>
    </w:p>
    <w:p w14:paraId="1BF33EE4" w14:textId="77777777" w:rsidR="001A1491" w:rsidRDefault="001A1491" w:rsidP="001A1491">
      <w:pPr>
        <w:spacing w:before="120" w:line="240" w:lineRule="auto"/>
        <w:jc w:val="both"/>
        <w:rPr>
          <w:b/>
          <w:u w:val="single"/>
        </w:rPr>
      </w:pPr>
    </w:p>
    <w:p w14:paraId="3BBD5483" w14:textId="77777777" w:rsidR="001A1491" w:rsidRDefault="001A1491">
      <w:pPr>
        <w:rPr>
          <w:b/>
          <w:u w:val="single"/>
        </w:rPr>
      </w:pPr>
      <w:r>
        <w:rPr>
          <w:b/>
          <w:u w:val="single"/>
        </w:rPr>
        <w:br w:type="page"/>
      </w:r>
    </w:p>
    <w:p w14:paraId="294655E4" w14:textId="5DC077B5" w:rsidR="008479A4" w:rsidRDefault="00ED7CAF" w:rsidP="001A1491">
      <w:pPr>
        <w:spacing w:before="120" w:line="240" w:lineRule="auto"/>
        <w:jc w:val="both"/>
        <w:rPr>
          <w:b/>
          <w:u w:val="single"/>
        </w:rPr>
      </w:pPr>
      <w:r>
        <w:rPr>
          <w:b/>
          <w:u w:val="single"/>
        </w:rPr>
        <w:lastRenderedPageBreak/>
        <w:t xml:space="preserve">Objetivos: </w:t>
      </w:r>
    </w:p>
    <w:p w14:paraId="0A59DC3B" w14:textId="77777777" w:rsidR="008479A4" w:rsidRDefault="00ED7CAF" w:rsidP="001A1491">
      <w:pPr>
        <w:numPr>
          <w:ilvl w:val="0"/>
          <w:numId w:val="3"/>
        </w:numPr>
        <w:spacing w:before="120" w:line="240" w:lineRule="auto"/>
        <w:ind w:left="0"/>
        <w:jc w:val="both"/>
      </w:pPr>
      <w:r>
        <w:t>Formar oficiales de mesa para categorías hasta U21, de manera que puedan desenvolverse en cualquiera de las funciones de la mesa d</w:t>
      </w:r>
      <w:r>
        <w:t>e control requeridas en torneos bajo la órbita de la CAB.</w:t>
      </w:r>
    </w:p>
    <w:p w14:paraId="34627317" w14:textId="77777777" w:rsidR="008479A4" w:rsidRDefault="00ED7CAF" w:rsidP="001A1491">
      <w:pPr>
        <w:numPr>
          <w:ilvl w:val="0"/>
          <w:numId w:val="3"/>
        </w:numPr>
        <w:spacing w:before="120" w:line="240" w:lineRule="auto"/>
        <w:ind w:left="0"/>
        <w:jc w:val="both"/>
      </w:pPr>
      <w:r>
        <w:t xml:space="preserve">Proporcionar a los participantes una sólida formación teórica y práctica en los fundamentos, recursos y herramientas necesarias para desarrollarse como oficiales de mesa </w:t>
      </w:r>
    </w:p>
    <w:p w14:paraId="3FE600EA" w14:textId="77777777" w:rsidR="008479A4" w:rsidRDefault="00ED7CAF" w:rsidP="001A1491">
      <w:pPr>
        <w:numPr>
          <w:ilvl w:val="0"/>
          <w:numId w:val="3"/>
        </w:numPr>
        <w:spacing w:before="120" w:line="240" w:lineRule="auto"/>
        <w:ind w:left="0"/>
        <w:jc w:val="both"/>
      </w:pPr>
      <w:r>
        <w:t>Proveer un amplio conocimie</w:t>
      </w:r>
      <w:r>
        <w:t>nto de las reglas de juego FIBA y CAB.</w:t>
      </w:r>
    </w:p>
    <w:p w14:paraId="75BDD663" w14:textId="77777777" w:rsidR="008479A4" w:rsidRDefault="00ED7CAF" w:rsidP="001A1491">
      <w:pPr>
        <w:numPr>
          <w:ilvl w:val="0"/>
          <w:numId w:val="3"/>
        </w:numPr>
        <w:spacing w:before="120" w:line="240" w:lineRule="auto"/>
        <w:ind w:left="0"/>
        <w:jc w:val="both"/>
      </w:pPr>
      <w:r>
        <w:t xml:space="preserve">Promover valores éticos y deportivos en el contexto en que se desenvuelven los oficiales de mesa </w:t>
      </w:r>
    </w:p>
    <w:p w14:paraId="003F93F4" w14:textId="77777777" w:rsidR="001A1491" w:rsidRDefault="001A1491" w:rsidP="001A1491">
      <w:pPr>
        <w:spacing w:before="120" w:line="240" w:lineRule="auto"/>
        <w:jc w:val="both"/>
        <w:rPr>
          <w:b/>
          <w:u w:val="single"/>
        </w:rPr>
      </w:pPr>
    </w:p>
    <w:p w14:paraId="0ED69BD0" w14:textId="50845862" w:rsidR="008479A4" w:rsidRDefault="00ED7CAF" w:rsidP="001A1491">
      <w:pPr>
        <w:spacing w:before="120" w:line="240" w:lineRule="auto"/>
        <w:jc w:val="both"/>
      </w:pPr>
      <w:r>
        <w:rPr>
          <w:b/>
          <w:u w:val="single"/>
        </w:rPr>
        <w:t xml:space="preserve">Perfil de egreso </w:t>
      </w:r>
    </w:p>
    <w:p w14:paraId="5A243A2D" w14:textId="77777777" w:rsidR="008479A4" w:rsidRDefault="00ED7CAF" w:rsidP="001A1491">
      <w:pPr>
        <w:spacing w:before="120" w:line="240" w:lineRule="auto"/>
        <w:ind w:firstLine="720"/>
        <w:jc w:val="both"/>
        <w:rPr>
          <w:i/>
        </w:rPr>
      </w:pPr>
      <w:r>
        <w:rPr>
          <w:i/>
        </w:rPr>
        <w:t>El egresado del Curso de Oficial de Mesa - Nivel 1 (CAB) estará capacitado para desempeñarse con efic</w:t>
      </w:r>
      <w:r>
        <w:rPr>
          <w:i/>
        </w:rPr>
        <w:t xml:space="preserve">acia y responsabilidad en cualquiera de las funciones requeridas en el ámbito de la mesa de control - cronómetro, operador de reloj de </w:t>
      </w:r>
      <w:proofErr w:type="gramStart"/>
      <w:r>
        <w:rPr>
          <w:i/>
        </w:rPr>
        <w:t>lanzamiento,acta</w:t>
      </w:r>
      <w:proofErr w:type="gramEnd"/>
      <w:r>
        <w:rPr>
          <w:i/>
        </w:rPr>
        <w:t xml:space="preserve"> digital y asistente de acta digital-, en los torneos bajo la órbita de la CAB para categorías U13, U15, </w:t>
      </w:r>
      <w:r>
        <w:rPr>
          <w:i/>
        </w:rPr>
        <w:t>U17, U19, U21.</w:t>
      </w:r>
    </w:p>
    <w:p w14:paraId="3AD8B25B" w14:textId="77777777" w:rsidR="008479A4" w:rsidRDefault="00ED7CAF" w:rsidP="001A1491">
      <w:pPr>
        <w:spacing w:before="120" w:line="240" w:lineRule="auto"/>
        <w:ind w:firstLine="720"/>
        <w:jc w:val="both"/>
        <w:rPr>
          <w:i/>
        </w:rPr>
      </w:pPr>
      <w:r>
        <w:rPr>
          <w:i/>
        </w:rPr>
        <w:t>Su formación le permitirá participar en las Clínicas de Reválidas para mantener su nivel actualizado, asegurando así su continua profesionalización y excelencia en el desempeño de su rol a lo largo de todo el país.</w:t>
      </w:r>
    </w:p>
    <w:p w14:paraId="263F1704" w14:textId="77777777" w:rsidR="008479A4" w:rsidRDefault="00ED7CAF" w:rsidP="001A1491">
      <w:pPr>
        <w:spacing w:before="120" w:line="240" w:lineRule="auto"/>
        <w:ind w:firstLine="720"/>
        <w:jc w:val="both"/>
        <w:rPr>
          <w:i/>
        </w:rPr>
      </w:pPr>
      <w:r>
        <w:rPr>
          <w:i/>
        </w:rPr>
        <w:t>Quienes cuenten con el Niv</w:t>
      </w:r>
      <w:r>
        <w:rPr>
          <w:i/>
        </w:rPr>
        <w:t xml:space="preserve">el 1, podrán acceder a la realización del curso de oficiales de mesa nivel 2. </w:t>
      </w:r>
    </w:p>
    <w:p w14:paraId="23CB45A4" w14:textId="77777777" w:rsidR="001A1491" w:rsidRDefault="001A1491" w:rsidP="001A1491">
      <w:pPr>
        <w:spacing w:before="120" w:line="240" w:lineRule="auto"/>
        <w:jc w:val="both"/>
        <w:rPr>
          <w:b/>
          <w:u w:val="single"/>
        </w:rPr>
      </w:pPr>
    </w:p>
    <w:p w14:paraId="5D62B2A4" w14:textId="696005CC" w:rsidR="008479A4" w:rsidRDefault="00ED7CAF" w:rsidP="001A1491">
      <w:pPr>
        <w:spacing w:before="120" w:line="240" w:lineRule="auto"/>
        <w:jc w:val="both"/>
        <w:rPr>
          <w:b/>
          <w:u w:val="single"/>
        </w:rPr>
      </w:pPr>
      <w:r>
        <w:rPr>
          <w:b/>
          <w:u w:val="single"/>
        </w:rPr>
        <w:t xml:space="preserve">Alcance del título: </w:t>
      </w:r>
    </w:p>
    <w:p w14:paraId="2E6C34A4" w14:textId="77777777" w:rsidR="008479A4" w:rsidRDefault="00ED7CAF" w:rsidP="001A1491">
      <w:pPr>
        <w:spacing w:before="120" w:line="240" w:lineRule="auto"/>
        <w:ind w:firstLine="720"/>
        <w:jc w:val="both"/>
      </w:pPr>
      <w:r>
        <w:t xml:space="preserve">El egresado de la carrera de oficial de mesa - Nivel 1 (CAB) estará capacitado y obtendrá la habilitación como Oficial de Mesa CAB, la que le servirá para oficiar torneos bajo la órbita de la CAB para </w:t>
      </w:r>
      <w:proofErr w:type="gramStart"/>
      <w:r>
        <w:t>categorías  U</w:t>
      </w:r>
      <w:proofErr w:type="gramEnd"/>
      <w:r>
        <w:t>13, U15, U17, U19, U21 en todo el país. Co</w:t>
      </w:r>
      <w:r>
        <w:t xml:space="preserve">n esa habilitación podrán trabajar en cualquier competencia organizada por la CAB y habilita para participar en las Clínicas de Reválidas que se realizan para actualizar y mantener vigente su nivel de oficial de mesa. </w:t>
      </w:r>
    </w:p>
    <w:p w14:paraId="2C9BC9FC" w14:textId="77777777" w:rsidR="001A1491" w:rsidRDefault="001A1491" w:rsidP="001A1491">
      <w:pPr>
        <w:spacing w:before="120" w:line="240" w:lineRule="auto"/>
        <w:jc w:val="both"/>
        <w:rPr>
          <w:b/>
          <w:u w:val="single"/>
        </w:rPr>
      </w:pPr>
    </w:p>
    <w:p w14:paraId="7257809E" w14:textId="6FA09BDD" w:rsidR="008479A4" w:rsidRDefault="00ED7CAF" w:rsidP="001A1491">
      <w:pPr>
        <w:spacing w:before="120" w:line="240" w:lineRule="auto"/>
        <w:jc w:val="both"/>
        <w:rPr>
          <w:b/>
          <w:u w:val="single"/>
        </w:rPr>
      </w:pPr>
      <w:r>
        <w:rPr>
          <w:b/>
          <w:u w:val="single"/>
        </w:rPr>
        <w:t>Plan de estudios</w:t>
      </w:r>
    </w:p>
    <w:p w14:paraId="21EE20A4" w14:textId="77777777" w:rsidR="008479A4" w:rsidRDefault="00ED7CAF" w:rsidP="001A1491">
      <w:pPr>
        <w:spacing w:before="120" w:line="240" w:lineRule="auto"/>
        <w:jc w:val="both"/>
      </w:pPr>
      <w:r>
        <w:rPr>
          <w:b/>
        </w:rPr>
        <w:t>Módulo 1: Introducción a la Educación a Distancia</w:t>
      </w:r>
    </w:p>
    <w:p w14:paraId="4766F524" w14:textId="77777777" w:rsidR="008479A4" w:rsidRDefault="00ED7CAF" w:rsidP="001A1491">
      <w:pPr>
        <w:spacing w:before="120" w:line="240" w:lineRule="auto"/>
        <w:jc w:val="both"/>
      </w:pPr>
      <w:r>
        <w:t>Breve introducción al curso y sus objetivos. Explicación de la metodología de enseñanza a dista</w:t>
      </w:r>
      <w:r>
        <w:t>ncia. Presentación de la plataforma educativa y herramientas de comunicación. Orientación sobre el uso de recursos educativos en línea. Perfil del Básquet Argentino.</w:t>
      </w:r>
    </w:p>
    <w:p w14:paraId="035D1051" w14:textId="77777777" w:rsidR="008479A4" w:rsidRDefault="00ED7CAF" w:rsidP="001A1491">
      <w:pPr>
        <w:spacing w:before="120" w:line="240" w:lineRule="auto"/>
        <w:jc w:val="both"/>
      </w:pPr>
      <w:r>
        <w:rPr>
          <w:b/>
        </w:rPr>
        <w:t>Módulo 2: Teoría del juego 1</w:t>
      </w:r>
    </w:p>
    <w:p w14:paraId="244794FF" w14:textId="77777777" w:rsidR="008479A4" w:rsidRDefault="00ED7CAF" w:rsidP="001A1491">
      <w:pPr>
        <w:spacing w:before="120" w:line="240" w:lineRule="auto"/>
        <w:jc w:val="both"/>
      </w:pPr>
      <w:r>
        <w:t>El juego. Terreno de juego y equipamiento. Los equipos</w:t>
      </w:r>
    </w:p>
    <w:p w14:paraId="692BBC7F" w14:textId="77777777" w:rsidR="008479A4" w:rsidRDefault="00ED7CAF" w:rsidP="001A1491">
      <w:pPr>
        <w:spacing w:before="120" w:line="240" w:lineRule="auto"/>
        <w:jc w:val="both"/>
      </w:pPr>
      <w:r>
        <w:rPr>
          <w:b/>
        </w:rPr>
        <w:t>Módul</w:t>
      </w:r>
      <w:r>
        <w:rPr>
          <w:b/>
        </w:rPr>
        <w:t>o 3: Teoría del juego 2</w:t>
      </w:r>
    </w:p>
    <w:p w14:paraId="4DEB4760" w14:textId="77777777" w:rsidR="008479A4" w:rsidRDefault="00ED7CAF" w:rsidP="001A1491">
      <w:pPr>
        <w:spacing w:before="120" w:line="240" w:lineRule="auto"/>
        <w:jc w:val="both"/>
      </w:pPr>
      <w:r>
        <w:t>Reglamentación del juego</w:t>
      </w:r>
    </w:p>
    <w:p w14:paraId="5B317119" w14:textId="77777777" w:rsidR="008479A4" w:rsidRDefault="00ED7CAF" w:rsidP="001A1491">
      <w:pPr>
        <w:spacing w:before="120" w:line="240" w:lineRule="auto"/>
        <w:jc w:val="both"/>
        <w:rPr>
          <w:b/>
        </w:rPr>
      </w:pPr>
      <w:r>
        <w:rPr>
          <w:b/>
        </w:rPr>
        <w:lastRenderedPageBreak/>
        <w:t>Módulo 4:  Teoría del juego 3</w:t>
      </w:r>
    </w:p>
    <w:p w14:paraId="12CCA639" w14:textId="77777777" w:rsidR="008479A4" w:rsidRDefault="00ED7CAF" w:rsidP="001A1491">
      <w:pPr>
        <w:spacing w:before="120" w:line="240" w:lineRule="auto"/>
        <w:jc w:val="both"/>
      </w:pPr>
      <w:r>
        <w:t>Reglamentación del juego. Violaciones</w:t>
      </w:r>
    </w:p>
    <w:p w14:paraId="4F2FB6BC" w14:textId="77777777" w:rsidR="008479A4" w:rsidRDefault="00ED7CAF" w:rsidP="001A1491">
      <w:pPr>
        <w:spacing w:before="120" w:line="240" w:lineRule="auto"/>
        <w:jc w:val="both"/>
      </w:pPr>
      <w:r>
        <w:rPr>
          <w:b/>
        </w:rPr>
        <w:t>Módulo 5: Teoría del juego 4</w:t>
      </w:r>
    </w:p>
    <w:p w14:paraId="74821A05" w14:textId="0B782484" w:rsidR="008479A4" w:rsidRDefault="00ED7CAF" w:rsidP="001A1491">
      <w:pPr>
        <w:spacing w:before="120" w:line="240" w:lineRule="auto"/>
        <w:jc w:val="both"/>
      </w:pPr>
      <w:r>
        <w:t xml:space="preserve">Faltas. Disposiciones generales. Señas de los </w:t>
      </w:r>
      <w:r w:rsidR="001A1491">
        <w:t>árbitros</w:t>
      </w:r>
      <w:r>
        <w:t>. Irs-challenge</w:t>
      </w:r>
    </w:p>
    <w:p w14:paraId="3E2D15D9" w14:textId="77777777" w:rsidR="008479A4" w:rsidRDefault="00ED7CAF" w:rsidP="001A1491">
      <w:pPr>
        <w:spacing w:before="120" w:line="240" w:lineRule="auto"/>
        <w:jc w:val="both"/>
      </w:pPr>
      <w:r>
        <w:rPr>
          <w:b/>
        </w:rPr>
        <w:t xml:space="preserve">Módulo 6: Obligaciones y derechos del </w:t>
      </w:r>
      <w:r>
        <w:rPr>
          <w:b/>
        </w:rPr>
        <w:t>oficial de mesa</w:t>
      </w:r>
    </w:p>
    <w:p w14:paraId="62ABEC30" w14:textId="77777777" w:rsidR="008479A4" w:rsidRDefault="00ED7CAF" w:rsidP="001A1491">
      <w:pPr>
        <w:spacing w:before="120" w:line="240" w:lineRule="auto"/>
        <w:jc w:val="both"/>
      </w:pPr>
      <w:r w:rsidRPr="00C81B97">
        <w:rPr>
          <w:lang w:val="pt-BR"/>
        </w:rPr>
        <w:t xml:space="preserve">Anotador. Asistente de anotador. Cronometrador. </w:t>
      </w:r>
      <w:r>
        <w:t>Operador de reloj de tiro</w:t>
      </w:r>
    </w:p>
    <w:p w14:paraId="7890DCC7" w14:textId="77777777" w:rsidR="008479A4" w:rsidRDefault="00ED7CAF" w:rsidP="001A1491">
      <w:pPr>
        <w:spacing w:before="120" w:line="240" w:lineRule="auto"/>
        <w:jc w:val="both"/>
        <w:rPr>
          <w:b/>
        </w:rPr>
      </w:pPr>
      <w:r>
        <w:rPr>
          <w:b/>
        </w:rPr>
        <w:t>Módulo 7: Funciones de los oficiales de mesa 1</w:t>
      </w:r>
    </w:p>
    <w:p w14:paraId="6872BB59" w14:textId="77777777" w:rsidR="008479A4" w:rsidRDefault="00ED7CAF" w:rsidP="001A1491">
      <w:pPr>
        <w:spacing w:before="120" w:line="240" w:lineRule="auto"/>
        <w:jc w:val="both"/>
      </w:pPr>
      <w:r>
        <w:t>Manejo del cronometro de juego. Manejo del reloj de tiro</w:t>
      </w:r>
    </w:p>
    <w:p w14:paraId="148A2551" w14:textId="77777777" w:rsidR="008479A4" w:rsidRDefault="00ED7CAF" w:rsidP="001A1491">
      <w:pPr>
        <w:spacing w:before="120" w:line="240" w:lineRule="auto"/>
        <w:jc w:val="both"/>
        <w:rPr>
          <w:b/>
        </w:rPr>
      </w:pPr>
      <w:r>
        <w:rPr>
          <w:b/>
        </w:rPr>
        <w:t>Módulo 8: Funciones de los oficiales de mesa 2</w:t>
      </w:r>
    </w:p>
    <w:p w14:paraId="12C6620E" w14:textId="77777777" w:rsidR="008479A4" w:rsidRDefault="00ED7CAF" w:rsidP="001A1491">
      <w:pPr>
        <w:spacing w:before="120" w:line="240" w:lineRule="auto"/>
        <w:jc w:val="both"/>
      </w:pPr>
      <w:r>
        <w:t>Planilla de juego</w:t>
      </w:r>
    </w:p>
    <w:p w14:paraId="74EFE815" w14:textId="77777777" w:rsidR="008479A4" w:rsidRDefault="00ED7CAF" w:rsidP="001A1491">
      <w:pPr>
        <w:spacing w:before="120" w:line="240" w:lineRule="auto"/>
        <w:jc w:val="both"/>
        <w:rPr>
          <w:b/>
        </w:rPr>
      </w:pPr>
      <w:r>
        <w:rPr>
          <w:b/>
        </w:rPr>
        <w:t>Módulo 9: Funciones de los oficiales de mesa 3</w:t>
      </w:r>
    </w:p>
    <w:p w14:paraId="32A771E1" w14:textId="77777777" w:rsidR="008479A4" w:rsidRDefault="00ED7CAF" w:rsidP="001A1491">
      <w:pPr>
        <w:spacing w:before="120" w:line="240" w:lineRule="auto"/>
        <w:jc w:val="both"/>
      </w:pPr>
      <w:r>
        <w:t>Planilla de juego (cont). Asistente de anotador</w:t>
      </w:r>
    </w:p>
    <w:p w14:paraId="5CC88F24" w14:textId="77777777" w:rsidR="008479A4" w:rsidRDefault="00ED7CAF" w:rsidP="001A1491">
      <w:pPr>
        <w:spacing w:before="120" w:line="240" w:lineRule="auto"/>
        <w:jc w:val="both"/>
        <w:rPr>
          <w:b/>
          <w:u w:val="single"/>
        </w:rPr>
      </w:pPr>
      <w:r>
        <w:rPr>
          <w:b/>
        </w:rPr>
        <w:t>Módulo 10: Funciones del anotador-acta digital siredi 1</w:t>
      </w:r>
    </w:p>
    <w:p w14:paraId="15284015" w14:textId="2EFA6D78" w:rsidR="008479A4" w:rsidRDefault="001A1491" w:rsidP="001A1491">
      <w:pPr>
        <w:spacing w:before="120" w:line="240" w:lineRule="auto"/>
        <w:jc w:val="both"/>
      </w:pPr>
      <w:r>
        <w:t>Teoría</w:t>
      </w:r>
      <w:r w:rsidR="00ED7CAF">
        <w:t xml:space="preserve"> del uso del acta digital. </w:t>
      </w:r>
      <w:r>
        <w:t>Utilización</w:t>
      </w:r>
      <w:r w:rsidR="00ED7CAF">
        <w:t xml:space="preserve"> del acta digital (parte i)</w:t>
      </w:r>
    </w:p>
    <w:p w14:paraId="442F1D9A" w14:textId="77777777" w:rsidR="008479A4" w:rsidRDefault="00ED7CAF" w:rsidP="001A1491">
      <w:pPr>
        <w:spacing w:before="120" w:line="240" w:lineRule="auto"/>
        <w:jc w:val="both"/>
        <w:rPr>
          <w:b/>
          <w:u w:val="single"/>
        </w:rPr>
      </w:pPr>
      <w:r>
        <w:rPr>
          <w:b/>
        </w:rPr>
        <w:t>Módulo 11: fun</w:t>
      </w:r>
      <w:r>
        <w:rPr>
          <w:b/>
        </w:rPr>
        <w:t>ciones del anotador-acta digital siredi 2</w:t>
      </w:r>
    </w:p>
    <w:p w14:paraId="5E8F6AB8" w14:textId="1FAE7984" w:rsidR="008479A4" w:rsidRDefault="001A1491" w:rsidP="001A1491">
      <w:pPr>
        <w:spacing w:before="120" w:line="240" w:lineRule="auto"/>
        <w:jc w:val="both"/>
      </w:pPr>
      <w:r>
        <w:t>Utilización</w:t>
      </w:r>
      <w:r w:rsidR="00ED7CAF">
        <w:t xml:space="preserve"> del acta digital (parte ii)</w:t>
      </w:r>
    </w:p>
    <w:p w14:paraId="3EFE0383" w14:textId="77777777" w:rsidR="008479A4" w:rsidRDefault="00ED7CAF" w:rsidP="001A1491">
      <w:pPr>
        <w:spacing w:before="120" w:line="240" w:lineRule="auto"/>
        <w:jc w:val="both"/>
      </w:pPr>
      <w:r>
        <w:rPr>
          <w:b/>
        </w:rPr>
        <w:t>Módulo 12: Repaso general</w:t>
      </w:r>
    </w:p>
    <w:p w14:paraId="31D99D4B" w14:textId="438B8370" w:rsidR="008479A4" w:rsidRDefault="00ED7CAF" w:rsidP="001A1491">
      <w:pPr>
        <w:spacing w:before="120" w:line="240" w:lineRule="auto"/>
        <w:jc w:val="both"/>
      </w:pPr>
      <w:r>
        <w:t xml:space="preserve">Repaso sobre los contenidos dados en </w:t>
      </w:r>
      <w:r w:rsidR="001A1491">
        <w:t>módulos</w:t>
      </w:r>
      <w:r>
        <w:t xml:space="preserve"> previos</w:t>
      </w:r>
    </w:p>
    <w:p w14:paraId="76B7B562" w14:textId="77777777" w:rsidR="008479A4" w:rsidRDefault="00ED7CAF" w:rsidP="001A1491">
      <w:pPr>
        <w:spacing w:before="120" w:line="240" w:lineRule="auto"/>
        <w:jc w:val="both"/>
      </w:pPr>
      <w:r>
        <w:rPr>
          <w:b/>
        </w:rPr>
        <w:t>Módulo 13: Compromiso Ético y Social (Gestión de la Diversidad y la Inclusión) (Transversal)</w:t>
      </w:r>
    </w:p>
    <w:p w14:paraId="00B67527" w14:textId="77777777" w:rsidR="008479A4" w:rsidRDefault="00ED7CAF" w:rsidP="001A1491">
      <w:pPr>
        <w:spacing w:before="120" w:line="240" w:lineRule="auto"/>
        <w:jc w:val="both"/>
      </w:pPr>
      <w:r>
        <w:t>P</w:t>
      </w:r>
      <w:r>
        <w:t>romoción de valores éticos como el juego limpio. Fomento de la inclusión de niños de diferentes habilidades y contextos. Curso de Genero, masculinidades, violencia y no discriminación</w:t>
      </w:r>
    </w:p>
    <w:p w14:paraId="42041226" w14:textId="77777777" w:rsidR="008479A4" w:rsidRDefault="00ED7CAF" w:rsidP="001A1491">
      <w:pPr>
        <w:spacing w:before="120" w:line="240" w:lineRule="auto"/>
        <w:jc w:val="both"/>
        <w:rPr>
          <w:b/>
        </w:rPr>
      </w:pPr>
      <w:r>
        <w:rPr>
          <w:b/>
        </w:rPr>
        <w:t>Módulo 14: Instancia de Práctica situada - Evaluación presencial</w:t>
      </w:r>
    </w:p>
    <w:p w14:paraId="313900D1" w14:textId="77777777" w:rsidR="008479A4" w:rsidRDefault="00ED7CAF" w:rsidP="001A1491">
      <w:pPr>
        <w:spacing w:before="120" w:line="240" w:lineRule="auto"/>
        <w:jc w:val="both"/>
      </w:pPr>
      <w:r>
        <w:t>El mód</w:t>
      </w:r>
      <w:r>
        <w:t xml:space="preserve">ulo de Instancia de Práctica Situadas (CPS) tiene como objetivo principal facilitar a los participantes la aplicación práctica de los conceptos teóricos adquiridos en el curso. A través de encuentros presenciales o instancias intensivas (Campus) adaptados </w:t>
      </w:r>
      <w:r>
        <w:t xml:space="preserve">a la realidad geográfica, los estudiantes tendrán la oportunidad de participar en prácticas guiadas y observar la práctica deportiva en acción. </w:t>
      </w:r>
    </w:p>
    <w:p w14:paraId="72E11090" w14:textId="77777777" w:rsidR="008479A4" w:rsidRDefault="00ED7CAF" w:rsidP="001A1491">
      <w:pPr>
        <w:spacing w:before="120" w:line="240" w:lineRule="auto"/>
        <w:jc w:val="both"/>
      </w:pPr>
      <w:r>
        <w:t>Este enfoque práctico permitirá a los participantes desarrollar habilidades de observación y análisis, así como</w:t>
      </w:r>
      <w:r>
        <w:t xml:space="preserve"> integrar los conocimientos teóricos dados en CFB y CFD, en situaciones concretas de entrenamiento. La evaluación del módulo se basará en la participación activa en las prácticas, el análisis reflexivo de la experiencia y la aplicación de los conceptos apr</w:t>
      </w:r>
      <w:r>
        <w:t>endidos en informes específicos.</w:t>
      </w:r>
    </w:p>
    <w:p w14:paraId="3F455ED2" w14:textId="77777777" w:rsidR="008479A4" w:rsidRDefault="008479A4" w:rsidP="001A1491">
      <w:pPr>
        <w:spacing w:before="120" w:line="240" w:lineRule="auto"/>
        <w:jc w:val="both"/>
      </w:pPr>
    </w:p>
    <w:p w14:paraId="0D16721B" w14:textId="77777777" w:rsidR="008479A4" w:rsidRDefault="008479A4" w:rsidP="001A1491">
      <w:pPr>
        <w:spacing w:before="120" w:line="240" w:lineRule="auto"/>
        <w:rPr>
          <w:b/>
        </w:rPr>
      </w:pPr>
    </w:p>
    <w:p w14:paraId="4E4A5E3A" w14:textId="77777777" w:rsidR="008479A4" w:rsidRDefault="008479A4" w:rsidP="001A1491">
      <w:pPr>
        <w:spacing w:before="120" w:line="240" w:lineRule="auto"/>
        <w:rPr>
          <w:b/>
        </w:rPr>
      </w:pPr>
    </w:p>
    <w:p w14:paraId="2C58F4F6" w14:textId="77777777" w:rsidR="008479A4" w:rsidRDefault="008479A4">
      <w:pPr>
        <w:rPr>
          <w:b/>
        </w:rPr>
      </w:pPr>
    </w:p>
    <w:sectPr w:rsidR="008479A4">
      <w:headerReference w:type="default" r:id="rId8"/>
      <w:pgSz w:w="11900" w:h="16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14A99" w14:textId="77777777" w:rsidR="00ED7CAF" w:rsidRDefault="00ED7CAF">
      <w:pPr>
        <w:spacing w:line="240" w:lineRule="auto"/>
      </w:pPr>
      <w:r>
        <w:separator/>
      </w:r>
    </w:p>
  </w:endnote>
  <w:endnote w:type="continuationSeparator" w:id="0">
    <w:p w14:paraId="78765434" w14:textId="77777777" w:rsidR="00ED7CAF" w:rsidRDefault="00ED7C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A5E17" w14:textId="77777777" w:rsidR="00ED7CAF" w:rsidRDefault="00ED7CAF">
      <w:pPr>
        <w:spacing w:line="240" w:lineRule="auto"/>
      </w:pPr>
      <w:r>
        <w:separator/>
      </w:r>
    </w:p>
  </w:footnote>
  <w:footnote w:type="continuationSeparator" w:id="0">
    <w:p w14:paraId="3F150BAF" w14:textId="77777777" w:rsidR="00ED7CAF" w:rsidRDefault="00ED7CAF">
      <w:pPr>
        <w:spacing w:line="240" w:lineRule="auto"/>
      </w:pPr>
      <w:r>
        <w:continuationSeparator/>
      </w:r>
    </w:p>
  </w:footnote>
  <w:footnote w:id="1">
    <w:p w14:paraId="5020CE23" w14:textId="77777777" w:rsidR="008479A4" w:rsidRDefault="00ED7CAF">
      <w:pPr>
        <w:pBdr>
          <w:top w:val="nil"/>
          <w:left w:val="nil"/>
          <w:bottom w:val="nil"/>
          <w:right w:val="nil"/>
          <w:between w:val="nil"/>
        </w:pBdr>
        <w:spacing w:line="240" w:lineRule="auto"/>
        <w:jc w:val="both"/>
        <w:rPr>
          <w:color w:val="000000"/>
          <w:sz w:val="20"/>
          <w:szCs w:val="20"/>
        </w:rPr>
      </w:pPr>
      <w:r>
        <w:rPr>
          <w:rStyle w:val="Refdenotaalpie"/>
        </w:rPr>
        <w:footnoteRef/>
      </w:r>
      <w:r>
        <w:rPr>
          <w:color w:val="000000"/>
          <w:sz w:val="20"/>
          <w:szCs w:val="20"/>
        </w:rPr>
        <w:t xml:space="preserve"> Para facilitar la lectura y escritura fluida, en este documento se ha utilizado in termino genérico como referente extensivo.</w:t>
      </w:r>
    </w:p>
    <w:p w14:paraId="1590F36D" w14:textId="77777777" w:rsidR="008479A4" w:rsidRDefault="00ED7CAF">
      <w:pPr>
        <w:pBdr>
          <w:top w:val="nil"/>
          <w:left w:val="nil"/>
          <w:bottom w:val="nil"/>
          <w:right w:val="nil"/>
          <w:between w:val="nil"/>
        </w:pBdr>
        <w:spacing w:line="240" w:lineRule="auto"/>
        <w:jc w:val="both"/>
        <w:rPr>
          <w:color w:val="000000"/>
          <w:sz w:val="20"/>
          <w:szCs w:val="20"/>
        </w:rPr>
      </w:pPr>
      <w:r>
        <w:rPr>
          <w:color w:val="000000"/>
          <w:sz w:val="20"/>
          <w:szCs w:val="20"/>
        </w:rPr>
        <w:t>Esto no implica una invisibilización o exclusión de las mujeres y personas no binarias.</w:t>
      </w:r>
    </w:p>
    <w:p w14:paraId="74D766D9" w14:textId="77777777" w:rsidR="008479A4" w:rsidRDefault="00ED7CAF">
      <w:pPr>
        <w:pBdr>
          <w:top w:val="nil"/>
          <w:left w:val="nil"/>
          <w:bottom w:val="nil"/>
          <w:right w:val="nil"/>
          <w:between w:val="nil"/>
        </w:pBdr>
        <w:spacing w:line="240" w:lineRule="auto"/>
        <w:jc w:val="both"/>
        <w:rPr>
          <w:color w:val="000000"/>
          <w:sz w:val="20"/>
          <w:szCs w:val="20"/>
        </w:rPr>
      </w:pPr>
      <w:r>
        <w:rPr>
          <w:color w:val="000000"/>
          <w:sz w:val="20"/>
          <w:szCs w:val="20"/>
        </w:rPr>
        <w:t>La decisión de utilizar el término genéri</w:t>
      </w:r>
      <w:r>
        <w:rPr>
          <w:color w:val="000000"/>
          <w:sz w:val="20"/>
          <w:szCs w:val="20"/>
        </w:rPr>
        <w:t>co en este documento se ha tomado en función del contexto comunicativo y teniendo en cuenta el objetivo de lograr una comunicación clara, precisa y respetuosa e inclusiva con todas las personas.</w:t>
      </w:r>
    </w:p>
    <w:p w14:paraId="06919343" w14:textId="5145BB26" w:rsidR="008479A4" w:rsidRDefault="00ED7CAF">
      <w:pPr>
        <w:pBdr>
          <w:top w:val="nil"/>
          <w:left w:val="nil"/>
          <w:bottom w:val="nil"/>
          <w:right w:val="nil"/>
          <w:between w:val="nil"/>
        </w:pBdr>
        <w:spacing w:line="240" w:lineRule="auto"/>
        <w:jc w:val="both"/>
        <w:rPr>
          <w:color w:val="000000"/>
          <w:sz w:val="20"/>
          <w:szCs w:val="20"/>
        </w:rPr>
      </w:pPr>
      <w:r>
        <w:rPr>
          <w:color w:val="000000"/>
          <w:sz w:val="20"/>
          <w:szCs w:val="20"/>
        </w:rPr>
        <w:t xml:space="preserve">Por </w:t>
      </w:r>
      <w:r w:rsidR="00BD4406">
        <w:rPr>
          <w:color w:val="000000"/>
          <w:sz w:val="20"/>
          <w:szCs w:val="20"/>
        </w:rPr>
        <w:t>tanto,</w:t>
      </w:r>
      <w:r>
        <w:rPr>
          <w:color w:val="000000"/>
          <w:sz w:val="20"/>
          <w:szCs w:val="20"/>
        </w:rPr>
        <w:t xml:space="preserve"> el término genérico contempla a todas las personas.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16BF" w14:textId="77777777" w:rsidR="008479A4" w:rsidRDefault="00ED7CAF">
    <w:pPr>
      <w:pBdr>
        <w:top w:val="nil"/>
        <w:left w:val="nil"/>
        <w:bottom w:val="nil"/>
        <w:right w:val="nil"/>
        <w:between w:val="nil"/>
      </w:pBdr>
      <w:tabs>
        <w:tab w:val="center" w:pos="4252"/>
        <w:tab w:val="right" w:pos="8504"/>
      </w:tabs>
      <w:spacing w:line="240" w:lineRule="auto"/>
      <w:rPr>
        <w:color w:val="000000"/>
      </w:rPr>
    </w:pPr>
    <w:r>
      <w:rPr>
        <w:noProof/>
        <w:color w:val="000000"/>
      </w:rPr>
      <w:drawing>
        <wp:inline distT="0" distB="0" distL="0" distR="0" wp14:anchorId="45902E47" wp14:editId="474C2B2A">
          <wp:extent cx="5396230" cy="1054100"/>
          <wp:effectExtent l="0" t="0" r="0" b="0"/>
          <wp:docPr id="37791456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396230" cy="1054100"/>
                  </a:xfrm>
                  <a:prstGeom prst="rect">
                    <a:avLst/>
                  </a:prstGeom>
                  <a:ln/>
                </pic:spPr>
              </pic:pic>
            </a:graphicData>
          </a:graphic>
        </wp:inline>
      </w:drawing>
    </w:r>
  </w:p>
  <w:p w14:paraId="22B96ADD" w14:textId="77777777" w:rsidR="008479A4" w:rsidRDefault="008479A4">
    <w:pPr>
      <w:pBdr>
        <w:top w:val="nil"/>
        <w:left w:val="nil"/>
        <w:bottom w:val="nil"/>
        <w:right w:val="nil"/>
        <w:between w:val="nil"/>
      </w:pBdr>
      <w:tabs>
        <w:tab w:val="center" w:pos="4252"/>
        <w:tab w:val="right" w:pos="8504"/>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2CB9"/>
    <w:multiLevelType w:val="multilevel"/>
    <w:tmpl w:val="F9DC37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2D4F16"/>
    <w:multiLevelType w:val="multilevel"/>
    <w:tmpl w:val="94CE47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8537D59"/>
    <w:multiLevelType w:val="multilevel"/>
    <w:tmpl w:val="FFF4D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D66146F"/>
    <w:multiLevelType w:val="hybridMultilevel"/>
    <w:tmpl w:val="47CE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462082"/>
    <w:multiLevelType w:val="multilevel"/>
    <w:tmpl w:val="80780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7FD7720"/>
    <w:multiLevelType w:val="multilevel"/>
    <w:tmpl w:val="8D5A3DB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8E130FA"/>
    <w:multiLevelType w:val="multilevel"/>
    <w:tmpl w:val="68169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E7A4FCE"/>
    <w:multiLevelType w:val="multilevel"/>
    <w:tmpl w:val="C32C1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9A4"/>
    <w:rsid w:val="001A1491"/>
    <w:rsid w:val="008479A4"/>
    <w:rsid w:val="009000F5"/>
    <w:rsid w:val="00B11BBF"/>
    <w:rsid w:val="00BD4406"/>
    <w:rsid w:val="00C81B97"/>
    <w:rsid w:val="00D943DA"/>
    <w:rsid w:val="00DF6080"/>
    <w:rsid w:val="00ED7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0E72B"/>
  <w15:docId w15:val="{DB3664AC-7B8D-4FDC-8B24-A9771591B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9C3"/>
    <w:rPr>
      <w:lang w:eastAsia="es-ES_tradnl"/>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ED59C3"/>
    <w:pPr>
      <w:spacing w:line="240" w:lineRule="auto"/>
      <w:ind w:left="720"/>
      <w:contextualSpacing/>
    </w:pPr>
    <w:rPr>
      <w:rFonts w:asciiTheme="minorHAnsi" w:eastAsiaTheme="minorHAnsi" w:hAnsiTheme="minorHAnsi" w:cstheme="minorBidi"/>
      <w:sz w:val="24"/>
      <w:szCs w:val="24"/>
      <w:lang w:val="es-AR" w:eastAsia="en-US"/>
    </w:rPr>
  </w:style>
  <w:style w:type="paragraph" w:styleId="Encabezado">
    <w:name w:val="header"/>
    <w:basedOn w:val="Normal"/>
    <w:link w:val="EncabezadoCar"/>
    <w:uiPriority w:val="99"/>
    <w:unhideWhenUsed/>
    <w:rsid w:val="008F763F"/>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8F763F"/>
    <w:rPr>
      <w:rFonts w:ascii="Arial" w:eastAsia="Arial" w:hAnsi="Arial" w:cs="Arial"/>
      <w:sz w:val="22"/>
      <w:szCs w:val="22"/>
      <w:lang w:val="es" w:eastAsia="es-ES_tradnl"/>
    </w:rPr>
  </w:style>
  <w:style w:type="paragraph" w:styleId="Piedepgina">
    <w:name w:val="footer"/>
    <w:basedOn w:val="Normal"/>
    <w:link w:val="PiedepginaCar"/>
    <w:uiPriority w:val="99"/>
    <w:unhideWhenUsed/>
    <w:rsid w:val="008F763F"/>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8F763F"/>
    <w:rPr>
      <w:rFonts w:ascii="Arial" w:eastAsia="Arial" w:hAnsi="Arial" w:cs="Arial"/>
      <w:sz w:val="22"/>
      <w:szCs w:val="22"/>
      <w:lang w:val="es" w:eastAsia="es-ES_tradnl"/>
    </w:rPr>
  </w:style>
  <w:style w:type="paragraph" w:styleId="NormalWeb">
    <w:name w:val="Normal (Web)"/>
    <w:basedOn w:val="Normal"/>
    <w:uiPriority w:val="99"/>
    <w:semiHidden/>
    <w:unhideWhenUsed/>
    <w:rsid w:val="00E31339"/>
    <w:rPr>
      <w:rFonts w:ascii="Times New Roman" w:hAnsi="Times New Roman" w:cs="Times New Roman"/>
      <w:sz w:val="24"/>
      <w:szCs w:val="24"/>
    </w:rPr>
  </w:style>
  <w:style w:type="character" w:styleId="Refdecomentario">
    <w:name w:val="annotation reference"/>
    <w:basedOn w:val="Fuentedeprrafopredeter"/>
    <w:uiPriority w:val="99"/>
    <w:semiHidden/>
    <w:unhideWhenUsed/>
    <w:rsid w:val="006833F7"/>
    <w:rPr>
      <w:sz w:val="16"/>
      <w:szCs w:val="16"/>
    </w:rPr>
  </w:style>
  <w:style w:type="paragraph" w:styleId="Textocomentario">
    <w:name w:val="annotation text"/>
    <w:basedOn w:val="Normal"/>
    <w:link w:val="TextocomentarioCar"/>
    <w:uiPriority w:val="99"/>
    <w:unhideWhenUsed/>
    <w:rsid w:val="006833F7"/>
    <w:pPr>
      <w:spacing w:line="240" w:lineRule="auto"/>
    </w:pPr>
    <w:rPr>
      <w:sz w:val="20"/>
      <w:szCs w:val="20"/>
    </w:rPr>
  </w:style>
  <w:style w:type="character" w:customStyle="1" w:styleId="TextocomentarioCar">
    <w:name w:val="Texto comentario Car"/>
    <w:basedOn w:val="Fuentedeprrafopredeter"/>
    <w:link w:val="Textocomentario"/>
    <w:uiPriority w:val="99"/>
    <w:rsid w:val="006833F7"/>
    <w:rPr>
      <w:rFonts w:ascii="Arial" w:eastAsia="Arial" w:hAnsi="Arial" w:cs="Arial"/>
      <w:sz w:val="20"/>
      <w:szCs w:val="20"/>
      <w:lang w:val="es" w:eastAsia="es-ES_tradnl"/>
    </w:rPr>
  </w:style>
  <w:style w:type="paragraph" w:styleId="Asuntodelcomentario">
    <w:name w:val="annotation subject"/>
    <w:basedOn w:val="Textocomentario"/>
    <w:next w:val="Textocomentario"/>
    <w:link w:val="AsuntodelcomentarioCar"/>
    <w:uiPriority w:val="99"/>
    <w:semiHidden/>
    <w:unhideWhenUsed/>
    <w:rsid w:val="006833F7"/>
    <w:rPr>
      <w:b/>
      <w:bCs/>
    </w:rPr>
  </w:style>
  <w:style w:type="character" w:customStyle="1" w:styleId="AsuntodelcomentarioCar">
    <w:name w:val="Asunto del comentario Car"/>
    <w:basedOn w:val="TextocomentarioCar"/>
    <w:link w:val="Asuntodelcomentario"/>
    <w:uiPriority w:val="99"/>
    <w:semiHidden/>
    <w:rsid w:val="006833F7"/>
    <w:rPr>
      <w:rFonts w:ascii="Arial" w:eastAsia="Arial" w:hAnsi="Arial" w:cs="Arial"/>
      <w:b/>
      <w:bCs/>
      <w:sz w:val="20"/>
      <w:szCs w:val="20"/>
      <w:lang w:val="es" w:eastAsia="es-ES_tradnl"/>
    </w:rPr>
  </w:style>
  <w:style w:type="character" w:styleId="Hipervnculo">
    <w:name w:val="Hyperlink"/>
    <w:basedOn w:val="Fuentedeprrafopredeter"/>
    <w:uiPriority w:val="99"/>
    <w:unhideWhenUsed/>
    <w:rsid w:val="00146ED2"/>
    <w:rPr>
      <w:color w:val="0563C1" w:themeColor="hyperlink"/>
      <w:u w:val="single"/>
    </w:rPr>
  </w:style>
  <w:style w:type="character" w:styleId="Mencinsinresolver">
    <w:name w:val="Unresolved Mention"/>
    <w:basedOn w:val="Fuentedeprrafopredeter"/>
    <w:uiPriority w:val="99"/>
    <w:semiHidden/>
    <w:unhideWhenUsed/>
    <w:rsid w:val="00146ED2"/>
    <w:rPr>
      <w:color w:val="605E5C"/>
      <w:shd w:val="clear" w:color="auto" w:fill="E1DFDD"/>
    </w:rPr>
  </w:style>
  <w:style w:type="paragraph" w:styleId="Textonotapie">
    <w:name w:val="footnote text"/>
    <w:basedOn w:val="Normal"/>
    <w:link w:val="TextonotapieCar"/>
    <w:uiPriority w:val="99"/>
    <w:semiHidden/>
    <w:unhideWhenUsed/>
    <w:rsid w:val="00393055"/>
    <w:pPr>
      <w:spacing w:line="240" w:lineRule="auto"/>
    </w:pPr>
    <w:rPr>
      <w:sz w:val="20"/>
      <w:szCs w:val="20"/>
    </w:rPr>
  </w:style>
  <w:style w:type="character" w:customStyle="1" w:styleId="TextonotapieCar">
    <w:name w:val="Texto nota pie Car"/>
    <w:basedOn w:val="Fuentedeprrafopredeter"/>
    <w:link w:val="Textonotapie"/>
    <w:uiPriority w:val="99"/>
    <w:semiHidden/>
    <w:rsid w:val="00393055"/>
    <w:rPr>
      <w:rFonts w:ascii="Arial" w:eastAsia="Arial" w:hAnsi="Arial" w:cs="Arial"/>
      <w:sz w:val="20"/>
      <w:szCs w:val="20"/>
      <w:lang w:val="es" w:eastAsia="es-ES_tradnl"/>
    </w:rPr>
  </w:style>
  <w:style w:type="character" w:styleId="Refdenotaalpie">
    <w:name w:val="footnote reference"/>
    <w:basedOn w:val="Fuentedeprrafopredeter"/>
    <w:uiPriority w:val="99"/>
    <w:semiHidden/>
    <w:unhideWhenUsed/>
    <w:rsid w:val="00393055"/>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top w:w="15" w:type="dxa"/>
        <w:left w:w="15" w:type="dxa"/>
        <w:bottom w:w="15" w:type="dxa"/>
        <w:right w:w="15" w:type="dxa"/>
      </w:tblCellMar>
    </w:tblPr>
  </w:style>
  <w:style w:type="table" w:customStyle="1" w:styleId="a0">
    <w:basedOn w:val="Tablanormal"/>
    <w:tblPr>
      <w:tblStyleRowBandSize w:val="1"/>
      <w:tblStyleColBandSize w:val="1"/>
      <w:tblCellMar>
        <w:top w:w="15" w:type="dxa"/>
        <w:left w:w="15" w:type="dxa"/>
        <w:bottom w:w="15" w:type="dxa"/>
        <w:right w:w="15" w:type="dxa"/>
      </w:tblCellMar>
    </w:tblPr>
  </w:style>
  <w:style w:type="table" w:customStyle="1" w:styleId="a1">
    <w:basedOn w:val="Tablanormal"/>
    <w:tblPr>
      <w:tblStyleRowBandSize w:val="1"/>
      <w:tblStyleColBandSize w:val="1"/>
      <w:tblCellMar>
        <w:top w:w="15" w:type="dxa"/>
        <w:left w:w="15" w:type="dxa"/>
        <w:bottom w:w="15" w:type="dxa"/>
        <w:right w:w="15" w:type="dxa"/>
      </w:tblCellMar>
    </w:tblPr>
  </w:style>
  <w:style w:type="table" w:customStyle="1" w:styleId="a2">
    <w:basedOn w:val="Tabla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QXm0eeyAVL803tCdfm5QSt1Z3A==">CgMxLjAyCWguMzBqMHpsbDgAciExS3lCWnJYZmhlUno0Q3dLVFVLRHhRT3V0bjUwS0NmYTk=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982</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Erica Jocano</cp:lastModifiedBy>
  <cp:revision>7</cp:revision>
  <dcterms:created xsi:type="dcterms:W3CDTF">2024-06-11T18:13:00Z</dcterms:created>
  <dcterms:modified xsi:type="dcterms:W3CDTF">2024-07-29T20:24:00Z</dcterms:modified>
</cp:coreProperties>
</file>